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287D6" w14:textId="77777777" w:rsidR="004549C2" w:rsidRDefault="00D763C4" w:rsidP="004549C2">
      <w:pPr>
        <w:ind w:hanging="360"/>
        <w:rPr>
          <w:rFonts w:ascii="Century Gothic" w:hAnsi="Century Gothic" w:cs="Arial"/>
          <w:b/>
        </w:rPr>
      </w:pPr>
      <w:r>
        <w:rPr>
          <w:noProof/>
          <w:lang w:eastAsia="ko-KR"/>
        </w:rPr>
        <w:drawing>
          <wp:inline distT="0" distB="0" distL="0" distR="0" wp14:anchorId="481EEC78" wp14:editId="65628EE2">
            <wp:extent cx="2799716" cy="8763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-prim-endor-data-science-computing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6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DFCD" w14:textId="77777777" w:rsidR="00F17C3D" w:rsidRDefault="00904B9C" w:rsidP="004549C2">
      <w:pPr>
        <w:ind w:hanging="360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IDSC </w:t>
      </w:r>
      <w:r w:rsidR="00F519FC">
        <w:rPr>
          <w:rFonts w:ascii="Century Gothic" w:hAnsi="Century Gothic" w:cs="Arial"/>
          <w:b/>
        </w:rPr>
        <w:t>Service Unit Match</w:t>
      </w:r>
    </w:p>
    <w:p w14:paraId="14B3AB1E" w14:textId="77777777" w:rsidR="00F17C3D" w:rsidRPr="00EA595B" w:rsidRDefault="00F17C3D" w:rsidP="00F17C3D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14:paraId="4BB86A1A" w14:textId="2D3875D0" w:rsidR="00506E3F" w:rsidRPr="004549C2" w:rsidRDefault="0053347F" w:rsidP="00F17C3D">
      <w:pPr>
        <w:rPr>
          <w:noProof/>
          <w:sz w:val="22"/>
          <w:szCs w:val="22"/>
        </w:rPr>
      </w:pPr>
      <w:r w:rsidRPr="004549C2">
        <w:rPr>
          <w:noProof/>
          <w:sz w:val="22"/>
          <w:szCs w:val="22"/>
        </w:rPr>
        <w:t>The</w:t>
      </w:r>
      <w:r w:rsidR="006A24BE" w:rsidRPr="004549C2">
        <w:rPr>
          <w:noProof/>
          <w:sz w:val="22"/>
          <w:szCs w:val="22"/>
        </w:rPr>
        <w:t xml:space="preserve"> University of </w:t>
      </w:r>
      <w:r w:rsidR="000D29D0" w:rsidRPr="004549C2">
        <w:rPr>
          <w:noProof/>
          <w:sz w:val="22"/>
          <w:szCs w:val="22"/>
        </w:rPr>
        <w:t>Miami</w:t>
      </w:r>
      <w:r w:rsidRPr="004549C2">
        <w:rPr>
          <w:noProof/>
          <w:sz w:val="22"/>
          <w:szCs w:val="22"/>
        </w:rPr>
        <w:t xml:space="preserve"> Institute for Data Science and Computing </w:t>
      </w:r>
      <w:r w:rsidR="000D29D0" w:rsidRPr="004549C2">
        <w:rPr>
          <w:noProof/>
          <w:sz w:val="22"/>
          <w:szCs w:val="22"/>
        </w:rPr>
        <w:t xml:space="preserve">(IDSC) </w:t>
      </w:r>
      <w:r w:rsidRPr="004549C2">
        <w:rPr>
          <w:noProof/>
          <w:sz w:val="22"/>
          <w:szCs w:val="22"/>
        </w:rPr>
        <w:t xml:space="preserve">is committed to </w:t>
      </w:r>
      <w:r w:rsidR="00A403B2" w:rsidRPr="00A403B2">
        <w:rPr>
          <w:noProof/>
          <w:sz w:val="22"/>
          <w:szCs w:val="22"/>
        </w:rPr>
        <w:t xml:space="preserve">providing exceptional advance computing resources </w:t>
      </w:r>
      <w:r w:rsidRPr="004549C2">
        <w:rPr>
          <w:noProof/>
          <w:sz w:val="22"/>
          <w:szCs w:val="22"/>
        </w:rPr>
        <w:t>to meet the compu</w:t>
      </w:r>
      <w:r w:rsidR="00EB1418" w:rsidRPr="004549C2">
        <w:rPr>
          <w:noProof/>
          <w:sz w:val="22"/>
          <w:szCs w:val="22"/>
        </w:rPr>
        <w:t>ta</w:t>
      </w:r>
      <w:r w:rsidRPr="004549C2">
        <w:rPr>
          <w:noProof/>
          <w:sz w:val="22"/>
          <w:szCs w:val="22"/>
        </w:rPr>
        <w:t xml:space="preserve">tional needs </w:t>
      </w:r>
      <w:r w:rsidR="000D29D0" w:rsidRPr="004549C2">
        <w:rPr>
          <w:noProof/>
          <w:sz w:val="22"/>
          <w:szCs w:val="22"/>
        </w:rPr>
        <w:t xml:space="preserve">of </w:t>
      </w:r>
      <w:r w:rsidRPr="004549C2">
        <w:rPr>
          <w:noProof/>
          <w:sz w:val="22"/>
          <w:szCs w:val="22"/>
        </w:rPr>
        <w:t>the Unviersity of Miami</w:t>
      </w:r>
      <w:r w:rsidR="000D29D0" w:rsidRPr="004549C2">
        <w:rPr>
          <w:noProof/>
          <w:sz w:val="22"/>
          <w:szCs w:val="22"/>
        </w:rPr>
        <w:t>’s research community</w:t>
      </w:r>
      <w:r w:rsidRPr="004549C2">
        <w:rPr>
          <w:noProof/>
          <w:sz w:val="22"/>
          <w:szCs w:val="22"/>
        </w:rPr>
        <w:t xml:space="preserve">. </w:t>
      </w:r>
      <w:r w:rsidR="00506E3F" w:rsidRPr="004549C2">
        <w:rPr>
          <w:noProof/>
          <w:sz w:val="22"/>
          <w:szCs w:val="22"/>
        </w:rPr>
        <w:t>In</w:t>
      </w:r>
      <w:r w:rsidR="00354799" w:rsidRPr="004549C2">
        <w:rPr>
          <w:noProof/>
          <w:sz w:val="22"/>
          <w:szCs w:val="22"/>
        </w:rPr>
        <w:t xml:space="preserve"> FY2020, </w:t>
      </w:r>
      <w:r w:rsidR="000D29D0" w:rsidRPr="004549C2">
        <w:rPr>
          <w:noProof/>
          <w:sz w:val="22"/>
          <w:szCs w:val="22"/>
        </w:rPr>
        <w:t>IDSC transititioned to a</w:t>
      </w:r>
      <w:r w:rsidR="00354799" w:rsidRPr="004549C2">
        <w:rPr>
          <w:noProof/>
          <w:sz w:val="22"/>
          <w:szCs w:val="22"/>
        </w:rPr>
        <w:t xml:space="preserve"> partial</w:t>
      </w:r>
      <w:r w:rsidR="000D29D0" w:rsidRPr="004549C2">
        <w:rPr>
          <w:noProof/>
          <w:sz w:val="22"/>
          <w:szCs w:val="22"/>
        </w:rPr>
        <w:t xml:space="preserve"> fee-for-service model </w:t>
      </w:r>
      <w:r w:rsidR="00354799" w:rsidRPr="004549C2">
        <w:rPr>
          <w:noProof/>
          <w:sz w:val="22"/>
          <w:szCs w:val="22"/>
        </w:rPr>
        <w:t xml:space="preserve">with the expectation that FY2021 services would be </w:t>
      </w:r>
      <w:r w:rsidR="00D01D3A" w:rsidRPr="004549C2">
        <w:rPr>
          <w:noProof/>
          <w:sz w:val="22"/>
          <w:szCs w:val="22"/>
        </w:rPr>
        <w:t xml:space="preserve">offered </w:t>
      </w:r>
      <w:r w:rsidR="00354799" w:rsidRPr="004549C2">
        <w:rPr>
          <w:noProof/>
          <w:sz w:val="22"/>
          <w:szCs w:val="22"/>
        </w:rPr>
        <w:t xml:space="preserve">at the full service rate.  </w:t>
      </w:r>
      <w:r w:rsidR="00812F99" w:rsidRPr="004549C2">
        <w:rPr>
          <w:noProof/>
          <w:sz w:val="22"/>
          <w:szCs w:val="22"/>
        </w:rPr>
        <w:t xml:space="preserve"> </w:t>
      </w:r>
      <w:r w:rsidR="000D29D0" w:rsidRPr="004549C2">
        <w:rPr>
          <w:noProof/>
          <w:sz w:val="22"/>
          <w:szCs w:val="22"/>
        </w:rPr>
        <w:t xml:space="preserve">We understand this model </w:t>
      </w:r>
      <w:r w:rsidR="00354799" w:rsidRPr="004549C2">
        <w:rPr>
          <w:noProof/>
          <w:sz w:val="22"/>
          <w:szCs w:val="22"/>
        </w:rPr>
        <w:t>will</w:t>
      </w:r>
      <w:r w:rsidR="000D29D0" w:rsidRPr="004549C2">
        <w:rPr>
          <w:noProof/>
          <w:sz w:val="22"/>
          <w:szCs w:val="22"/>
        </w:rPr>
        <w:t xml:space="preserve"> impose added financial responsibility on investigators</w:t>
      </w:r>
      <w:r w:rsidR="00497E77" w:rsidRPr="004549C2">
        <w:rPr>
          <w:noProof/>
          <w:sz w:val="22"/>
          <w:szCs w:val="22"/>
        </w:rPr>
        <w:t>; and as such, IDSC will</w:t>
      </w:r>
      <w:r w:rsidR="00506E3F" w:rsidRPr="004549C2">
        <w:rPr>
          <w:noProof/>
          <w:sz w:val="22"/>
          <w:szCs w:val="22"/>
        </w:rPr>
        <w:t xml:space="preserve"> </w:t>
      </w:r>
      <w:r w:rsidR="000D29D0" w:rsidRPr="004549C2">
        <w:rPr>
          <w:noProof/>
          <w:sz w:val="22"/>
          <w:szCs w:val="22"/>
        </w:rPr>
        <w:t>establish</w:t>
      </w:r>
      <w:r w:rsidR="00EB1418" w:rsidRPr="004549C2">
        <w:rPr>
          <w:noProof/>
          <w:sz w:val="22"/>
          <w:szCs w:val="22"/>
        </w:rPr>
        <w:t xml:space="preserve"> </w:t>
      </w:r>
      <w:r w:rsidR="000D29D0" w:rsidRPr="004549C2">
        <w:rPr>
          <w:noProof/>
          <w:sz w:val="22"/>
          <w:szCs w:val="22"/>
        </w:rPr>
        <w:t>a</w:t>
      </w:r>
      <w:r w:rsidR="00E96269" w:rsidRPr="004549C2">
        <w:rPr>
          <w:noProof/>
          <w:sz w:val="22"/>
          <w:szCs w:val="22"/>
        </w:rPr>
        <w:t xml:space="preserve"> </w:t>
      </w:r>
      <w:r w:rsidR="00F519FC" w:rsidRPr="00F519FC">
        <w:rPr>
          <w:noProof/>
          <w:sz w:val="22"/>
          <w:szCs w:val="22"/>
        </w:rPr>
        <w:t xml:space="preserve">Service Unit Match </w:t>
      </w:r>
      <w:r w:rsidR="000D29D0" w:rsidRPr="004549C2">
        <w:rPr>
          <w:noProof/>
          <w:sz w:val="22"/>
          <w:szCs w:val="22"/>
        </w:rPr>
        <w:t>program designed to assist our heaviest</w:t>
      </w:r>
      <w:r w:rsidR="00354799" w:rsidRPr="004549C2">
        <w:rPr>
          <w:noProof/>
          <w:sz w:val="22"/>
          <w:szCs w:val="22"/>
        </w:rPr>
        <w:t xml:space="preserve"> </w:t>
      </w:r>
      <w:r w:rsidR="000D29D0" w:rsidRPr="004549C2">
        <w:rPr>
          <w:noProof/>
          <w:sz w:val="22"/>
          <w:szCs w:val="22"/>
        </w:rPr>
        <w:t xml:space="preserve">users. </w:t>
      </w:r>
      <w:r w:rsidR="00812F99" w:rsidRPr="004549C2">
        <w:rPr>
          <w:noProof/>
          <w:sz w:val="22"/>
          <w:szCs w:val="22"/>
        </w:rPr>
        <w:t xml:space="preserve">This </w:t>
      </w:r>
      <w:r w:rsidR="006A24BE" w:rsidRPr="004549C2">
        <w:rPr>
          <w:noProof/>
          <w:sz w:val="22"/>
          <w:szCs w:val="22"/>
        </w:rPr>
        <w:t>document</w:t>
      </w:r>
      <w:r w:rsidR="00812F99" w:rsidRPr="004549C2">
        <w:rPr>
          <w:noProof/>
          <w:sz w:val="22"/>
          <w:szCs w:val="22"/>
        </w:rPr>
        <w:t xml:space="preserve"> </w:t>
      </w:r>
      <w:r w:rsidR="00F92AC0" w:rsidRPr="004549C2">
        <w:rPr>
          <w:noProof/>
          <w:sz w:val="22"/>
          <w:szCs w:val="22"/>
        </w:rPr>
        <w:t xml:space="preserve">establishes the criteria for eligbilty </w:t>
      </w:r>
      <w:r w:rsidR="00F800E3" w:rsidRPr="004549C2">
        <w:rPr>
          <w:noProof/>
          <w:sz w:val="22"/>
          <w:szCs w:val="22"/>
        </w:rPr>
        <w:t>for a</w:t>
      </w:r>
      <w:r w:rsidR="00F519FC">
        <w:rPr>
          <w:noProof/>
          <w:sz w:val="22"/>
          <w:szCs w:val="22"/>
        </w:rPr>
        <w:t xml:space="preserve"> </w:t>
      </w:r>
      <w:r w:rsidR="00F519FC" w:rsidRPr="00F519FC">
        <w:rPr>
          <w:noProof/>
          <w:sz w:val="22"/>
          <w:szCs w:val="22"/>
        </w:rPr>
        <w:t xml:space="preserve">Service Unit Match </w:t>
      </w:r>
      <w:r w:rsidR="00AB14C2">
        <w:rPr>
          <w:noProof/>
          <w:sz w:val="22"/>
          <w:szCs w:val="22"/>
        </w:rPr>
        <w:t xml:space="preserve">subsidy </w:t>
      </w:r>
      <w:r w:rsidR="00F92AC0" w:rsidRPr="004549C2">
        <w:rPr>
          <w:noProof/>
          <w:sz w:val="22"/>
          <w:szCs w:val="22"/>
        </w:rPr>
        <w:t xml:space="preserve">and </w:t>
      </w:r>
      <w:r w:rsidR="00506E3F" w:rsidRPr="004549C2">
        <w:rPr>
          <w:noProof/>
          <w:sz w:val="22"/>
          <w:szCs w:val="22"/>
        </w:rPr>
        <w:t xml:space="preserve">provides details </w:t>
      </w:r>
      <w:r w:rsidR="00497E77" w:rsidRPr="004549C2">
        <w:rPr>
          <w:noProof/>
          <w:sz w:val="22"/>
          <w:szCs w:val="22"/>
        </w:rPr>
        <w:t xml:space="preserve">on how to </w:t>
      </w:r>
      <w:r w:rsidR="006721A6" w:rsidRPr="004549C2">
        <w:rPr>
          <w:noProof/>
          <w:sz w:val="22"/>
          <w:szCs w:val="22"/>
        </w:rPr>
        <w:t>submit a</w:t>
      </w:r>
      <w:r w:rsidR="006A24BE" w:rsidRPr="004549C2">
        <w:rPr>
          <w:noProof/>
          <w:sz w:val="22"/>
          <w:szCs w:val="22"/>
        </w:rPr>
        <w:t xml:space="preserve"> request.</w:t>
      </w:r>
    </w:p>
    <w:p w14:paraId="7CCB36DE" w14:textId="77777777" w:rsidR="006721A6" w:rsidRPr="004549C2" w:rsidRDefault="006721A6" w:rsidP="00F17C3D">
      <w:pPr>
        <w:rPr>
          <w:noProof/>
          <w:sz w:val="22"/>
          <w:szCs w:val="22"/>
        </w:rPr>
      </w:pPr>
    </w:p>
    <w:p w14:paraId="1B04D12C" w14:textId="77777777" w:rsidR="00506E3F" w:rsidRPr="004549C2" w:rsidRDefault="00506E3F" w:rsidP="00F17C3D">
      <w:pPr>
        <w:rPr>
          <w:noProof/>
          <w:sz w:val="22"/>
          <w:szCs w:val="22"/>
          <w:u w:val="single"/>
        </w:rPr>
      </w:pPr>
      <w:r w:rsidRPr="004549C2">
        <w:rPr>
          <w:noProof/>
          <w:sz w:val="22"/>
          <w:szCs w:val="22"/>
          <w:u w:val="single"/>
        </w:rPr>
        <w:t>Advanced Compute Processing</w:t>
      </w:r>
    </w:p>
    <w:p w14:paraId="22D93577" w14:textId="77777777" w:rsidR="00506E3F" w:rsidRPr="004549C2" w:rsidRDefault="00506E3F" w:rsidP="00506E3F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4549C2">
        <w:rPr>
          <w:noProof/>
          <w:sz w:val="22"/>
          <w:szCs w:val="22"/>
        </w:rPr>
        <w:t xml:space="preserve">The </w:t>
      </w:r>
      <w:r w:rsidR="0034788C" w:rsidRPr="004549C2">
        <w:rPr>
          <w:noProof/>
          <w:sz w:val="22"/>
          <w:szCs w:val="22"/>
        </w:rPr>
        <w:t xml:space="preserve">approved </w:t>
      </w:r>
      <w:r w:rsidRPr="004549C2">
        <w:rPr>
          <w:noProof/>
          <w:sz w:val="22"/>
          <w:szCs w:val="22"/>
        </w:rPr>
        <w:t>FY2021 rate for advanced compute processing</w:t>
      </w:r>
      <w:r w:rsidR="0034788C" w:rsidRPr="004549C2">
        <w:rPr>
          <w:noProof/>
          <w:sz w:val="22"/>
          <w:szCs w:val="22"/>
        </w:rPr>
        <w:t xml:space="preserve"> </w:t>
      </w:r>
      <w:r w:rsidR="00E96269" w:rsidRPr="004549C2">
        <w:rPr>
          <w:noProof/>
          <w:sz w:val="22"/>
          <w:szCs w:val="22"/>
        </w:rPr>
        <w:t>on UM supercomputing systems</w:t>
      </w:r>
      <w:r w:rsidR="0034788C" w:rsidRPr="004549C2">
        <w:rPr>
          <w:noProof/>
          <w:sz w:val="22"/>
          <w:szCs w:val="22"/>
        </w:rPr>
        <w:t xml:space="preserve"> </w:t>
      </w:r>
      <w:r w:rsidRPr="004549C2">
        <w:rPr>
          <w:noProof/>
          <w:sz w:val="22"/>
          <w:szCs w:val="22"/>
        </w:rPr>
        <w:t xml:space="preserve">is $0.011 per service unit (SU).  As a rule of thumb, 1 SU equates to either (a) use 1 core  for one hour or (b) 2 GB of RAM for 1 hour or (c) 1 GB of scratch space for four (4) hours.  </w:t>
      </w:r>
      <w:r w:rsidR="0034788C" w:rsidRPr="004549C2">
        <w:rPr>
          <w:noProof/>
          <w:sz w:val="22"/>
          <w:szCs w:val="22"/>
        </w:rPr>
        <w:t xml:space="preserve">Users are reminded that data on these systems is not backed up and should </w:t>
      </w:r>
      <w:r w:rsidRPr="004549C2">
        <w:rPr>
          <w:noProof/>
          <w:sz w:val="22"/>
          <w:szCs w:val="22"/>
        </w:rPr>
        <w:t xml:space="preserve">should promptly </w:t>
      </w:r>
      <w:r w:rsidR="0034788C" w:rsidRPr="004549C2">
        <w:rPr>
          <w:noProof/>
          <w:sz w:val="22"/>
          <w:szCs w:val="22"/>
        </w:rPr>
        <w:t>remove the data from</w:t>
      </w:r>
      <w:r w:rsidRPr="004549C2">
        <w:rPr>
          <w:noProof/>
          <w:sz w:val="22"/>
          <w:szCs w:val="22"/>
        </w:rPr>
        <w:t xml:space="preserve"> scratch space to avoid incurring additional usage charges</w:t>
      </w:r>
      <w:r w:rsidR="00497E77" w:rsidRPr="004549C2">
        <w:rPr>
          <w:noProof/>
          <w:sz w:val="22"/>
          <w:szCs w:val="22"/>
        </w:rPr>
        <w:t xml:space="preserve">. </w:t>
      </w:r>
    </w:p>
    <w:p w14:paraId="01E4DDB7" w14:textId="77777777" w:rsidR="00506E3F" w:rsidRPr="004549C2" w:rsidRDefault="00506E3F" w:rsidP="00F17C3D">
      <w:pPr>
        <w:rPr>
          <w:noProof/>
          <w:sz w:val="22"/>
          <w:szCs w:val="22"/>
        </w:rPr>
      </w:pPr>
    </w:p>
    <w:p w14:paraId="441A73E5" w14:textId="77777777" w:rsidR="00812F99" w:rsidRPr="004549C2" w:rsidRDefault="00497E77" w:rsidP="00F17C3D">
      <w:pPr>
        <w:rPr>
          <w:noProof/>
          <w:sz w:val="22"/>
          <w:szCs w:val="22"/>
          <w:u w:val="single"/>
        </w:rPr>
      </w:pPr>
      <w:r w:rsidRPr="004549C2">
        <w:rPr>
          <w:noProof/>
          <w:sz w:val="22"/>
          <w:szCs w:val="22"/>
          <w:u w:val="single"/>
        </w:rPr>
        <w:t>Crtieria for Eligibility</w:t>
      </w:r>
    </w:p>
    <w:p w14:paraId="45DCFDCC" w14:textId="0FF123E8" w:rsidR="00FD6433" w:rsidRPr="004549C2" w:rsidRDefault="00497E77" w:rsidP="00497E77">
      <w:pPr>
        <w:rPr>
          <w:noProof/>
          <w:sz w:val="22"/>
          <w:szCs w:val="22"/>
        </w:rPr>
      </w:pPr>
      <w:r w:rsidRPr="004549C2">
        <w:rPr>
          <w:noProof/>
          <w:sz w:val="22"/>
          <w:szCs w:val="22"/>
        </w:rPr>
        <w:t xml:space="preserve">This program is specifally designed to aid </w:t>
      </w:r>
      <w:r w:rsidR="00FD6433" w:rsidRPr="004549C2">
        <w:rPr>
          <w:noProof/>
          <w:sz w:val="22"/>
          <w:szCs w:val="22"/>
        </w:rPr>
        <w:t xml:space="preserve">heavy users who have allocated </w:t>
      </w:r>
      <w:r w:rsidR="00364006" w:rsidRPr="004549C2">
        <w:rPr>
          <w:noProof/>
          <w:sz w:val="22"/>
          <w:szCs w:val="22"/>
        </w:rPr>
        <w:t xml:space="preserve">greater than </w:t>
      </w:r>
      <w:r w:rsidR="00FD6433" w:rsidRPr="004549C2">
        <w:rPr>
          <w:noProof/>
          <w:sz w:val="22"/>
          <w:szCs w:val="22"/>
        </w:rPr>
        <w:t>2</w:t>
      </w:r>
      <w:r w:rsidR="00904B9C" w:rsidRPr="004549C2">
        <w:rPr>
          <w:noProof/>
          <w:sz w:val="22"/>
          <w:szCs w:val="22"/>
        </w:rPr>
        <w:t>75</w:t>
      </w:r>
      <w:r w:rsidR="00FD6433" w:rsidRPr="004549C2">
        <w:rPr>
          <w:noProof/>
          <w:sz w:val="22"/>
          <w:szCs w:val="22"/>
        </w:rPr>
        <w:t>,000 SUs or $</w:t>
      </w:r>
      <w:r w:rsidR="00904B9C" w:rsidRPr="004549C2">
        <w:rPr>
          <w:noProof/>
          <w:sz w:val="22"/>
          <w:szCs w:val="22"/>
        </w:rPr>
        <w:t>3025</w:t>
      </w:r>
      <w:r w:rsidR="00FD6433" w:rsidRPr="004549C2">
        <w:rPr>
          <w:noProof/>
          <w:sz w:val="22"/>
          <w:szCs w:val="22"/>
        </w:rPr>
        <w:t>.00</w:t>
      </w:r>
      <w:r w:rsidR="00364006" w:rsidRPr="004549C2">
        <w:rPr>
          <w:noProof/>
          <w:sz w:val="22"/>
          <w:szCs w:val="22"/>
        </w:rPr>
        <w:t xml:space="preserve"> in their proposal budget</w:t>
      </w:r>
      <w:r w:rsidR="00FD6433" w:rsidRPr="004549C2">
        <w:rPr>
          <w:noProof/>
          <w:sz w:val="22"/>
          <w:szCs w:val="22"/>
        </w:rPr>
        <w:t xml:space="preserve">. </w:t>
      </w:r>
      <w:r w:rsidR="00261FFF" w:rsidRPr="004549C2">
        <w:rPr>
          <w:noProof/>
          <w:sz w:val="22"/>
          <w:szCs w:val="22"/>
        </w:rPr>
        <w:t xml:space="preserve">This budget line item is </w:t>
      </w:r>
      <w:r w:rsidR="006A24BE" w:rsidRPr="004549C2">
        <w:rPr>
          <w:noProof/>
          <w:sz w:val="22"/>
          <w:szCs w:val="22"/>
        </w:rPr>
        <w:t xml:space="preserve">referenced </w:t>
      </w:r>
      <w:r w:rsidR="00261FFF" w:rsidRPr="004549C2">
        <w:rPr>
          <w:noProof/>
          <w:sz w:val="22"/>
          <w:szCs w:val="22"/>
        </w:rPr>
        <w:t xml:space="preserve">below as the User Contribution.  </w:t>
      </w:r>
      <w:r w:rsidR="006721A6" w:rsidRPr="004549C2">
        <w:rPr>
          <w:noProof/>
          <w:sz w:val="22"/>
          <w:szCs w:val="22"/>
        </w:rPr>
        <w:t xml:space="preserve">IDSC will match each user contributed dollar </w:t>
      </w:r>
      <w:r w:rsidR="00261FFF" w:rsidRPr="004549C2">
        <w:rPr>
          <w:noProof/>
          <w:sz w:val="22"/>
          <w:szCs w:val="22"/>
        </w:rPr>
        <w:t xml:space="preserve">as </w:t>
      </w:r>
      <w:r w:rsidR="006721A6" w:rsidRPr="004549C2">
        <w:rPr>
          <w:noProof/>
          <w:sz w:val="22"/>
          <w:szCs w:val="22"/>
        </w:rPr>
        <w:t xml:space="preserve">outlined </w:t>
      </w:r>
      <w:r w:rsidR="00261FFF" w:rsidRPr="004549C2">
        <w:rPr>
          <w:noProof/>
          <w:sz w:val="22"/>
          <w:szCs w:val="22"/>
        </w:rPr>
        <w:t xml:space="preserve">in the table below.  </w:t>
      </w:r>
      <w:r w:rsidR="001A2C59" w:rsidRPr="004549C2">
        <w:rPr>
          <w:noProof/>
          <w:sz w:val="22"/>
          <w:szCs w:val="22"/>
        </w:rPr>
        <w:t xml:space="preserve">The IDSC </w:t>
      </w:r>
      <w:r w:rsidR="00F92AC0" w:rsidRPr="004549C2">
        <w:rPr>
          <w:noProof/>
          <w:sz w:val="22"/>
          <w:szCs w:val="22"/>
        </w:rPr>
        <w:t>SU M</w:t>
      </w:r>
      <w:r w:rsidR="001A2C59" w:rsidRPr="004549C2">
        <w:rPr>
          <w:noProof/>
          <w:sz w:val="22"/>
          <w:szCs w:val="22"/>
        </w:rPr>
        <w:t>atch</w:t>
      </w:r>
      <w:r w:rsidR="00305461" w:rsidRPr="004549C2">
        <w:rPr>
          <w:noProof/>
          <w:sz w:val="22"/>
          <w:szCs w:val="22"/>
        </w:rPr>
        <w:t xml:space="preserve"> is </w:t>
      </w:r>
      <w:r w:rsidR="00364006" w:rsidRPr="004549C2">
        <w:rPr>
          <w:noProof/>
          <w:sz w:val="22"/>
          <w:szCs w:val="22"/>
        </w:rPr>
        <w:t xml:space="preserve">applied </w:t>
      </w:r>
      <w:r w:rsidR="00F92AC0" w:rsidRPr="004549C2">
        <w:rPr>
          <w:noProof/>
          <w:sz w:val="22"/>
          <w:szCs w:val="22"/>
        </w:rPr>
        <w:t xml:space="preserve">as the </w:t>
      </w:r>
      <w:r w:rsidR="00364006" w:rsidRPr="004549C2">
        <w:rPr>
          <w:noProof/>
          <w:sz w:val="22"/>
          <w:szCs w:val="22"/>
        </w:rPr>
        <w:t>thresholds</w:t>
      </w:r>
      <w:r w:rsidR="00663C55">
        <w:rPr>
          <w:noProof/>
          <w:sz w:val="22"/>
          <w:szCs w:val="22"/>
        </w:rPr>
        <w:t>,</w:t>
      </w:r>
      <w:r w:rsidR="00364006" w:rsidRPr="004549C2">
        <w:rPr>
          <w:noProof/>
          <w:sz w:val="22"/>
          <w:szCs w:val="22"/>
        </w:rPr>
        <w:t xml:space="preserve"> defined below</w:t>
      </w:r>
      <w:r w:rsidR="00F92AC0" w:rsidRPr="004549C2">
        <w:rPr>
          <w:noProof/>
          <w:sz w:val="22"/>
          <w:szCs w:val="22"/>
        </w:rPr>
        <w:t>, are met</w:t>
      </w:r>
      <w:r w:rsidR="00364006" w:rsidRPr="004549C2">
        <w:rPr>
          <w:noProof/>
          <w:sz w:val="22"/>
          <w:szCs w:val="22"/>
        </w:rPr>
        <w:t>.</w:t>
      </w:r>
      <w:r w:rsidR="003F5064" w:rsidRPr="004549C2">
        <w:rPr>
          <w:noProof/>
          <w:sz w:val="22"/>
          <w:szCs w:val="22"/>
        </w:rPr>
        <w:t xml:space="preserve">  </w:t>
      </w:r>
    </w:p>
    <w:p w14:paraId="4A015147" w14:textId="77777777" w:rsidR="00354799" w:rsidRPr="004549C2" w:rsidRDefault="00354799" w:rsidP="00F17C3D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527"/>
        <w:gridCol w:w="2703"/>
        <w:gridCol w:w="3022"/>
      </w:tblGrid>
      <w:tr w:rsidR="00497E77" w:rsidRPr="004549C2" w14:paraId="6F941F6C" w14:textId="77777777" w:rsidTr="00663C55">
        <w:trPr>
          <w:trHeight w:val="296"/>
        </w:trPr>
        <w:tc>
          <w:tcPr>
            <w:tcW w:w="1098" w:type="dxa"/>
            <w:shd w:val="clear" w:color="auto" w:fill="000000" w:themeFill="text1"/>
          </w:tcPr>
          <w:p w14:paraId="2F97E64A" w14:textId="77777777" w:rsidR="00497E77" w:rsidRPr="004549C2" w:rsidRDefault="00497E77" w:rsidP="00F17C3D">
            <w:pPr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4549C2">
              <w:rPr>
                <w:b/>
                <w:noProof/>
                <w:color w:val="FFFFFF" w:themeColor="background1"/>
                <w:sz w:val="22"/>
                <w:szCs w:val="22"/>
              </w:rPr>
              <w:t>Tier</w:t>
            </w:r>
          </w:p>
        </w:tc>
        <w:tc>
          <w:tcPr>
            <w:tcW w:w="2527" w:type="dxa"/>
            <w:shd w:val="clear" w:color="auto" w:fill="000000" w:themeFill="text1"/>
          </w:tcPr>
          <w:p w14:paraId="716A6206" w14:textId="77777777" w:rsidR="00497E77" w:rsidRPr="004549C2" w:rsidRDefault="00497E77" w:rsidP="00F17C3D">
            <w:pPr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4549C2">
              <w:rPr>
                <w:b/>
                <w:noProof/>
                <w:color w:val="FFFFFF" w:themeColor="background1"/>
                <w:sz w:val="22"/>
                <w:szCs w:val="22"/>
              </w:rPr>
              <w:t xml:space="preserve">Description </w:t>
            </w:r>
          </w:p>
        </w:tc>
        <w:tc>
          <w:tcPr>
            <w:tcW w:w="2703" w:type="dxa"/>
            <w:shd w:val="clear" w:color="auto" w:fill="000000" w:themeFill="text1"/>
          </w:tcPr>
          <w:p w14:paraId="193F626A" w14:textId="77777777" w:rsidR="00497E77" w:rsidRPr="004549C2" w:rsidRDefault="00497E77" w:rsidP="00F17C3D">
            <w:pPr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4549C2">
              <w:rPr>
                <w:b/>
                <w:noProof/>
                <w:color w:val="FFFFFF" w:themeColor="background1"/>
                <w:sz w:val="22"/>
                <w:szCs w:val="22"/>
              </w:rPr>
              <w:t xml:space="preserve">User Contribution </w:t>
            </w:r>
          </w:p>
        </w:tc>
        <w:tc>
          <w:tcPr>
            <w:tcW w:w="3022" w:type="dxa"/>
            <w:shd w:val="clear" w:color="auto" w:fill="000000" w:themeFill="text1"/>
          </w:tcPr>
          <w:p w14:paraId="2FAF3514" w14:textId="77777777" w:rsidR="00497E77" w:rsidRPr="004549C2" w:rsidRDefault="00497E77" w:rsidP="00F17C3D">
            <w:pPr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4549C2">
              <w:rPr>
                <w:b/>
                <w:noProof/>
                <w:color w:val="FFFFFF" w:themeColor="background1"/>
                <w:sz w:val="22"/>
                <w:szCs w:val="22"/>
              </w:rPr>
              <w:t xml:space="preserve">IDSC </w:t>
            </w:r>
            <w:r w:rsidR="0011365F" w:rsidRPr="004549C2">
              <w:rPr>
                <w:b/>
                <w:noProof/>
                <w:color w:val="FFFFFF" w:themeColor="background1"/>
                <w:sz w:val="22"/>
                <w:szCs w:val="22"/>
              </w:rPr>
              <w:t xml:space="preserve">SU </w:t>
            </w:r>
            <w:r w:rsidRPr="004549C2">
              <w:rPr>
                <w:b/>
                <w:noProof/>
                <w:color w:val="FFFFFF" w:themeColor="background1"/>
                <w:sz w:val="22"/>
                <w:szCs w:val="22"/>
              </w:rPr>
              <w:t>Match</w:t>
            </w:r>
          </w:p>
        </w:tc>
      </w:tr>
      <w:tr w:rsidR="00497E77" w:rsidRPr="004549C2" w14:paraId="1DA6D2A3" w14:textId="77777777" w:rsidTr="00663C55">
        <w:tc>
          <w:tcPr>
            <w:tcW w:w="1098" w:type="dxa"/>
          </w:tcPr>
          <w:p w14:paraId="2086664D" w14:textId="77777777" w:rsidR="00497E77" w:rsidRPr="004549C2" w:rsidRDefault="00497E77" w:rsidP="00F17C3D">
            <w:pPr>
              <w:rPr>
                <w:noProof/>
                <w:sz w:val="22"/>
                <w:szCs w:val="22"/>
              </w:rPr>
            </w:pPr>
            <w:r w:rsidRPr="004549C2">
              <w:rPr>
                <w:noProof/>
                <w:sz w:val="22"/>
                <w:szCs w:val="22"/>
              </w:rPr>
              <w:t xml:space="preserve">Tier 1 </w:t>
            </w:r>
          </w:p>
        </w:tc>
        <w:tc>
          <w:tcPr>
            <w:tcW w:w="2527" w:type="dxa"/>
          </w:tcPr>
          <w:p w14:paraId="5F0F5962" w14:textId="77777777" w:rsidR="00497E77" w:rsidRPr="004549C2" w:rsidRDefault="0011365F" w:rsidP="00F17C3D">
            <w:pPr>
              <w:rPr>
                <w:noProof/>
                <w:sz w:val="22"/>
                <w:szCs w:val="22"/>
              </w:rPr>
            </w:pPr>
            <w:r w:rsidRPr="004549C2">
              <w:rPr>
                <w:noProof/>
                <w:sz w:val="22"/>
                <w:szCs w:val="22"/>
              </w:rPr>
              <w:t>Less than</w:t>
            </w:r>
            <w:r w:rsidR="00497E77" w:rsidRPr="004549C2">
              <w:rPr>
                <w:noProof/>
                <w:sz w:val="22"/>
                <w:szCs w:val="22"/>
              </w:rPr>
              <w:t xml:space="preserve"> </w:t>
            </w:r>
            <w:r w:rsidR="00515BE3" w:rsidRPr="004549C2">
              <w:rPr>
                <w:noProof/>
                <w:sz w:val="22"/>
                <w:szCs w:val="22"/>
              </w:rPr>
              <w:t>275,000</w:t>
            </w:r>
            <w:r w:rsidR="00497E77" w:rsidRPr="004549C2">
              <w:rPr>
                <w:noProof/>
                <w:sz w:val="22"/>
                <w:szCs w:val="22"/>
              </w:rPr>
              <w:t xml:space="preserve"> SU</w:t>
            </w:r>
          </w:p>
        </w:tc>
        <w:tc>
          <w:tcPr>
            <w:tcW w:w="2703" w:type="dxa"/>
          </w:tcPr>
          <w:p w14:paraId="6AE4F464" w14:textId="77777777" w:rsidR="00497E77" w:rsidRPr="004549C2" w:rsidRDefault="0011365F" w:rsidP="00F17C3D">
            <w:pPr>
              <w:rPr>
                <w:noProof/>
                <w:sz w:val="22"/>
                <w:szCs w:val="22"/>
              </w:rPr>
            </w:pPr>
            <w:r w:rsidRPr="004549C2">
              <w:rPr>
                <w:noProof/>
                <w:sz w:val="22"/>
                <w:szCs w:val="22"/>
              </w:rPr>
              <w:t xml:space="preserve">Less than </w:t>
            </w:r>
            <w:r w:rsidR="00497E77" w:rsidRPr="004549C2">
              <w:rPr>
                <w:noProof/>
                <w:sz w:val="22"/>
                <w:szCs w:val="22"/>
              </w:rPr>
              <w:t>$</w:t>
            </w:r>
            <w:r w:rsidR="00515BE3" w:rsidRPr="004549C2">
              <w:rPr>
                <w:noProof/>
                <w:sz w:val="22"/>
                <w:szCs w:val="22"/>
              </w:rPr>
              <w:t>3,025</w:t>
            </w:r>
            <w:r w:rsidR="00497E77" w:rsidRPr="004549C2">
              <w:rPr>
                <w:noProof/>
                <w:sz w:val="22"/>
                <w:szCs w:val="22"/>
              </w:rPr>
              <w:t>.00</w:t>
            </w:r>
          </w:p>
        </w:tc>
        <w:tc>
          <w:tcPr>
            <w:tcW w:w="3022" w:type="dxa"/>
          </w:tcPr>
          <w:p w14:paraId="6C80A0D4" w14:textId="77777777" w:rsidR="00497E77" w:rsidRPr="004549C2" w:rsidRDefault="0011365F" w:rsidP="00F17C3D">
            <w:pPr>
              <w:rPr>
                <w:noProof/>
                <w:sz w:val="22"/>
                <w:szCs w:val="22"/>
              </w:rPr>
            </w:pPr>
            <w:r w:rsidRPr="004549C2">
              <w:rPr>
                <w:noProof/>
                <w:sz w:val="22"/>
                <w:szCs w:val="22"/>
              </w:rPr>
              <w:t xml:space="preserve">0 </w:t>
            </w:r>
          </w:p>
        </w:tc>
      </w:tr>
      <w:tr w:rsidR="00497E77" w:rsidRPr="004549C2" w14:paraId="48D3506B" w14:textId="77777777" w:rsidTr="00663C55">
        <w:tc>
          <w:tcPr>
            <w:tcW w:w="1098" w:type="dxa"/>
          </w:tcPr>
          <w:p w14:paraId="23EB872A" w14:textId="77777777" w:rsidR="00497E77" w:rsidRPr="004549C2" w:rsidRDefault="00497E77" w:rsidP="00F17C3D">
            <w:pPr>
              <w:rPr>
                <w:noProof/>
                <w:sz w:val="22"/>
                <w:szCs w:val="22"/>
              </w:rPr>
            </w:pPr>
            <w:r w:rsidRPr="004549C2">
              <w:rPr>
                <w:noProof/>
                <w:sz w:val="22"/>
                <w:szCs w:val="22"/>
              </w:rPr>
              <w:t>Tier 2</w:t>
            </w:r>
          </w:p>
        </w:tc>
        <w:tc>
          <w:tcPr>
            <w:tcW w:w="2527" w:type="dxa"/>
          </w:tcPr>
          <w:p w14:paraId="1DAD28D5" w14:textId="7FEC1E4E" w:rsidR="00497E77" w:rsidRPr="004549C2" w:rsidRDefault="00663C55" w:rsidP="00F17C3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Greater than </w:t>
            </w:r>
            <w:r w:rsidR="00515BE3" w:rsidRPr="004549C2">
              <w:rPr>
                <w:noProof/>
                <w:sz w:val="22"/>
                <w:szCs w:val="22"/>
              </w:rPr>
              <w:t>275,001</w:t>
            </w:r>
            <w:r w:rsidR="0034788C" w:rsidRPr="004549C2">
              <w:rPr>
                <w:noProof/>
                <w:sz w:val="22"/>
                <w:szCs w:val="22"/>
              </w:rPr>
              <w:t xml:space="preserve"> </w:t>
            </w:r>
            <w:r w:rsidR="0011365F" w:rsidRPr="004549C2">
              <w:rPr>
                <w:noProof/>
                <w:sz w:val="22"/>
                <w:szCs w:val="22"/>
              </w:rPr>
              <w:t>SU</w:t>
            </w:r>
            <w:r w:rsidR="00497E77" w:rsidRPr="004549C2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703" w:type="dxa"/>
          </w:tcPr>
          <w:p w14:paraId="17042D4D" w14:textId="37D9888D" w:rsidR="00497E77" w:rsidRPr="004549C2" w:rsidRDefault="00663C55" w:rsidP="00F17C3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Above </w:t>
            </w:r>
            <w:r w:rsidR="0011365F" w:rsidRPr="004549C2">
              <w:rPr>
                <w:noProof/>
                <w:sz w:val="22"/>
                <w:szCs w:val="22"/>
              </w:rPr>
              <w:t>$</w:t>
            </w:r>
            <w:r w:rsidR="00515BE3" w:rsidRPr="004549C2">
              <w:rPr>
                <w:noProof/>
                <w:sz w:val="22"/>
                <w:szCs w:val="22"/>
              </w:rPr>
              <w:t>3025.</w:t>
            </w:r>
            <w:r>
              <w:rPr>
                <w:noProof/>
                <w:sz w:val="22"/>
                <w:szCs w:val="22"/>
              </w:rPr>
              <w:t>01</w:t>
            </w:r>
          </w:p>
        </w:tc>
        <w:tc>
          <w:tcPr>
            <w:tcW w:w="3022" w:type="dxa"/>
          </w:tcPr>
          <w:p w14:paraId="164AA61C" w14:textId="41FDDD29" w:rsidR="00497E77" w:rsidRPr="004549C2" w:rsidRDefault="00663C55" w:rsidP="00F17C3D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4/5 </w:t>
            </w:r>
            <w:r w:rsidR="00AB14C2">
              <w:rPr>
                <w:noProof/>
                <w:sz w:val="22"/>
                <w:szCs w:val="22"/>
              </w:rPr>
              <w:t>of the Rate of Service</w:t>
            </w:r>
            <w:r w:rsidR="00305461" w:rsidRPr="004549C2">
              <w:rPr>
                <w:noProof/>
                <w:sz w:val="22"/>
                <w:szCs w:val="22"/>
              </w:rPr>
              <w:t xml:space="preserve"> </w:t>
            </w:r>
          </w:p>
        </w:tc>
      </w:tr>
    </w:tbl>
    <w:p w14:paraId="22147EF9" w14:textId="77777777" w:rsidR="009F6EB9" w:rsidRDefault="009F6EB9" w:rsidP="00D91512">
      <w:pPr>
        <w:autoSpaceDE w:val="0"/>
        <w:autoSpaceDN w:val="0"/>
        <w:adjustRightInd w:val="0"/>
        <w:rPr>
          <w:noProof/>
          <w:sz w:val="22"/>
          <w:szCs w:val="22"/>
        </w:rPr>
      </w:pPr>
    </w:p>
    <w:p w14:paraId="0757DDDE" w14:textId="77777777" w:rsidR="009F6EB9" w:rsidRPr="009F6EB9" w:rsidRDefault="009F6EB9" w:rsidP="00D91512">
      <w:pPr>
        <w:autoSpaceDE w:val="0"/>
        <w:autoSpaceDN w:val="0"/>
        <w:adjustRightInd w:val="0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>Budgeting for Service Units</w:t>
      </w:r>
    </w:p>
    <w:p w14:paraId="50E74518" w14:textId="77777777" w:rsidR="009F6EB9" w:rsidRDefault="009F6EB9" w:rsidP="009F6EB9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4549C2">
        <w:rPr>
          <w:noProof/>
          <w:sz w:val="22"/>
          <w:szCs w:val="22"/>
        </w:rPr>
        <w:t xml:space="preserve">The </w:t>
      </w:r>
      <w:r>
        <w:rPr>
          <w:noProof/>
          <w:sz w:val="22"/>
          <w:szCs w:val="22"/>
        </w:rPr>
        <w:t xml:space="preserve">IDSC </w:t>
      </w:r>
      <w:r w:rsidRPr="004549C2">
        <w:rPr>
          <w:noProof/>
          <w:sz w:val="22"/>
          <w:szCs w:val="22"/>
        </w:rPr>
        <w:t xml:space="preserve">Advanced Computing team can provide guidance to approporiately estimate resource ultilization on outgoing proposals. </w:t>
      </w:r>
      <w:r w:rsidR="00856AEE" w:rsidRPr="00856AEE">
        <w:rPr>
          <w:noProof/>
        </w:rPr>
        <w:t>Fo</w:t>
      </w:r>
      <w:r w:rsidRPr="004549C2">
        <w:rPr>
          <w:noProof/>
          <w:sz w:val="22"/>
          <w:szCs w:val="22"/>
        </w:rPr>
        <w:t xml:space="preserve">r assistance, email </w:t>
      </w:r>
      <w:hyperlink r:id="rId9" w:history="1">
        <w:r w:rsidRPr="004549C2">
          <w:rPr>
            <w:rStyle w:val="Hyperlink"/>
            <w:noProof/>
            <w:sz w:val="22"/>
            <w:szCs w:val="22"/>
          </w:rPr>
          <w:t>hpc@ccs.miami.edu</w:t>
        </w:r>
      </w:hyperlink>
      <w:r w:rsidRPr="004549C2">
        <w:rPr>
          <w:noProof/>
          <w:sz w:val="22"/>
          <w:szCs w:val="22"/>
        </w:rPr>
        <w:t xml:space="preserve">. </w:t>
      </w:r>
      <w:r w:rsidR="002D7FCB">
        <w:rPr>
          <w:noProof/>
          <w:sz w:val="22"/>
          <w:szCs w:val="22"/>
        </w:rPr>
        <w:t xml:space="preserve">We recommend using the </w:t>
      </w:r>
      <w:r w:rsidR="00856AEE">
        <w:rPr>
          <w:noProof/>
          <w:sz w:val="22"/>
          <w:szCs w:val="22"/>
        </w:rPr>
        <w:t>following text</w:t>
      </w:r>
      <w:r w:rsidR="002D7FCB">
        <w:rPr>
          <w:noProof/>
          <w:sz w:val="22"/>
          <w:szCs w:val="22"/>
        </w:rPr>
        <w:t xml:space="preserve"> as the budget justification for this line item on outgoing proposals:   </w:t>
      </w:r>
    </w:p>
    <w:p w14:paraId="53529371" w14:textId="77777777" w:rsidR="009F6EB9" w:rsidRDefault="009F6EB9" w:rsidP="009F6EB9">
      <w:pPr>
        <w:autoSpaceDE w:val="0"/>
        <w:autoSpaceDN w:val="0"/>
        <w:adjustRightInd w:val="0"/>
        <w:rPr>
          <w:noProof/>
          <w:sz w:val="22"/>
          <w:szCs w:val="22"/>
        </w:rPr>
      </w:pPr>
    </w:p>
    <w:p w14:paraId="21EF3B35" w14:textId="77777777" w:rsidR="009F6EB9" w:rsidRPr="002D7FCB" w:rsidRDefault="002D7FCB" w:rsidP="009F6EB9">
      <w:pPr>
        <w:autoSpaceDE w:val="0"/>
        <w:autoSpaceDN w:val="0"/>
        <w:adjustRightInd w:val="0"/>
        <w:rPr>
          <w:i/>
          <w:noProof/>
          <w:sz w:val="22"/>
          <w:szCs w:val="22"/>
        </w:rPr>
      </w:pPr>
      <w:r>
        <w:rPr>
          <w:i/>
          <w:noProof/>
          <w:sz w:val="22"/>
          <w:szCs w:val="22"/>
        </w:rPr>
        <w:t>The project will u</w:t>
      </w:r>
      <w:r w:rsidR="00856AEE">
        <w:rPr>
          <w:i/>
          <w:noProof/>
          <w:sz w:val="22"/>
          <w:szCs w:val="22"/>
        </w:rPr>
        <w:t>tilize</w:t>
      </w:r>
      <w:r>
        <w:rPr>
          <w:i/>
          <w:noProof/>
          <w:sz w:val="22"/>
          <w:szCs w:val="22"/>
        </w:rPr>
        <w:t xml:space="preserve"> the resources of the Univeristy of</w:t>
      </w:r>
      <w:r w:rsidR="008D221A">
        <w:rPr>
          <w:i/>
          <w:noProof/>
          <w:sz w:val="22"/>
          <w:szCs w:val="22"/>
        </w:rPr>
        <w:t xml:space="preserve"> </w:t>
      </w:r>
      <w:r>
        <w:rPr>
          <w:i/>
          <w:noProof/>
          <w:sz w:val="22"/>
          <w:szCs w:val="22"/>
        </w:rPr>
        <w:t>Miami I</w:t>
      </w:r>
      <w:r w:rsidR="008D221A">
        <w:rPr>
          <w:i/>
          <w:noProof/>
          <w:sz w:val="22"/>
          <w:szCs w:val="22"/>
        </w:rPr>
        <w:t xml:space="preserve">nstitute </w:t>
      </w:r>
      <w:r>
        <w:rPr>
          <w:i/>
          <w:noProof/>
          <w:sz w:val="22"/>
          <w:szCs w:val="22"/>
        </w:rPr>
        <w:t xml:space="preserve">for Data Science and Computing.  </w:t>
      </w:r>
      <w:r w:rsidR="009F6EB9" w:rsidRPr="002D7FCB">
        <w:rPr>
          <w:i/>
          <w:noProof/>
          <w:sz w:val="22"/>
          <w:szCs w:val="22"/>
        </w:rPr>
        <w:t xml:space="preserve">Requested in the budget are funds to cover the cost </w:t>
      </w:r>
      <w:r>
        <w:rPr>
          <w:i/>
          <w:noProof/>
          <w:sz w:val="22"/>
          <w:szCs w:val="22"/>
        </w:rPr>
        <w:t xml:space="preserve">for </w:t>
      </w:r>
      <w:r w:rsidR="009F6EB9" w:rsidRPr="002D7FCB">
        <w:rPr>
          <w:i/>
          <w:noProof/>
          <w:sz w:val="22"/>
          <w:szCs w:val="22"/>
        </w:rPr>
        <w:t xml:space="preserve">using </w:t>
      </w:r>
      <w:r>
        <w:rPr>
          <w:i/>
          <w:noProof/>
          <w:sz w:val="22"/>
          <w:szCs w:val="22"/>
        </w:rPr>
        <w:t xml:space="preserve">the </w:t>
      </w:r>
      <w:r w:rsidR="009F6EB9" w:rsidRPr="002D7FCB">
        <w:rPr>
          <w:i/>
          <w:noProof/>
          <w:sz w:val="22"/>
          <w:szCs w:val="22"/>
        </w:rPr>
        <w:t>advanced computing infrastructure, calcu</w:t>
      </w:r>
      <w:r w:rsidR="00856AEE">
        <w:rPr>
          <w:i/>
          <w:noProof/>
          <w:sz w:val="22"/>
          <w:szCs w:val="22"/>
        </w:rPr>
        <w:t>l</w:t>
      </w:r>
      <w:r w:rsidR="009F6EB9" w:rsidRPr="002D7FCB">
        <w:rPr>
          <w:i/>
          <w:noProof/>
          <w:sz w:val="22"/>
          <w:szCs w:val="22"/>
        </w:rPr>
        <w:t>ated using the Univer</w:t>
      </w:r>
      <w:r w:rsidR="008D221A">
        <w:rPr>
          <w:i/>
          <w:noProof/>
          <w:sz w:val="22"/>
          <w:szCs w:val="22"/>
        </w:rPr>
        <w:t xml:space="preserve">sity’s </w:t>
      </w:r>
      <w:r w:rsidR="009F6EB9" w:rsidRPr="002D7FCB">
        <w:rPr>
          <w:i/>
          <w:noProof/>
          <w:sz w:val="22"/>
          <w:szCs w:val="22"/>
        </w:rPr>
        <w:t xml:space="preserve">approved subsided rates.  </w:t>
      </w:r>
    </w:p>
    <w:p w14:paraId="71BF1BF8" w14:textId="77777777" w:rsidR="00D91512" w:rsidRPr="004549C2" w:rsidRDefault="00D91512" w:rsidP="00F17C3D">
      <w:pPr>
        <w:rPr>
          <w:noProof/>
          <w:sz w:val="22"/>
          <w:szCs w:val="22"/>
        </w:rPr>
      </w:pPr>
    </w:p>
    <w:p w14:paraId="4BA0F061" w14:textId="77777777" w:rsidR="001224F7" w:rsidRPr="004549C2" w:rsidRDefault="00146D15" w:rsidP="001224F7">
      <w:pPr>
        <w:autoSpaceDE w:val="0"/>
        <w:autoSpaceDN w:val="0"/>
        <w:adjustRightInd w:val="0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>Subsidy A</w:t>
      </w:r>
      <w:r w:rsidR="001224F7" w:rsidRPr="004549C2">
        <w:rPr>
          <w:noProof/>
          <w:sz w:val="22"/>
          <w:szCs w:val="22"/>
          <w:u w:val="single"/>
        </w:rPr>
        <w:t xml:space="preserve">pplication </w:t>
      </w:r>
      <w:r>
        <w:rPr>
          <w:noProof/>
          <w:sz w:val="22"/>
          <w:szCs w:val="22"/>
          <w:u w:val="single"/>
        </w:rPr>
        <w:t>P</w:t>
      </w:r>
      <w:r w:rsidR="001224F7" w:rsidRPr="004549C2">
        <w:rPr>
          <w:noProof/>
          <w:sz w:val="22"/>
          <w:szCs w:val="22"/>
          <w:u w:val="single"/>
        </w:rPr>
        <w:t>rocess</w:t>
      </w:r>
    </w:p>
    <w:p w14:paraId="783299AB" w14:textId="77777777" w:rsidR="00F800E3" w:rsidRPr="004549C2" w:rsidRDefault="001224F7" w:rsidP="001224F7">
      <w:pPr>
        <w:autoSpaceDE w:val="0"/>
        <w:autoSpaceDN w:val="0"/>
        <w:adjustRightInd w:val="0"/>
        <w:rPr>
          <w:noProof/>
          <w:sz w:val="22"/>
          <w:szCs w:val="22"/>
        </w:rPr>
      </w:pPr>
      <w:r w:rsidRPr="004549C2">
        <w:rPr>
          <w:noProof/>
          <w:sz w:val="22"/>
          <w:szCs w:val="22"/>
        </w:rPr>
        <w:t xml:space="preserve">To submit an application, users will complete a </w:t>
      </w:r>
      <w:hyperlink r:id="rId10" w:history="1">
        <w:r w:rsidRPr="004549C2">
          <w:rPr>
            <w:rStyle w:val="Hyperlink"/>
            <w:noProof/>
            <w:sz w:val="22"/>
            <w:szCs w:val="22"/>
          </w:rPr>
          <w:t>New Project Request form</w:t>
        </w:r>
      </w:hyperlink>
      <w:r w:rsidRPr="004549C2">
        <w:rPr>
          <w:noProof/>
          <w:sz w:val="22"/>
          <w:szCs w:val="22"/>
        </w:rPr>
        <w:t xml:space="preserve"> for each project they need considered.  Applications are r</w:t>
      </w:r>
      <w:r w:rsidR="00D91512" w:rsidRPr="004549C2">
        <w:rPr>
          <w:noProof/>
          <w:sz w:val="22"/>
          <w:szCs w:val="22"/>
        </w:rPr>
        <w:t xml:space="preserve">outed to the </w:t>
      </w:r>
      <w:r w:rsidRPr="004549C2">
        <w:rPr>
          <w:noProof/>
          <w:sz w:val="22"/>
          <w:szCs w:val="22"/>
        </w:rPr>
        <w:t>Allocations Committee</w:t>
      </w:r>
      <w:r w:rsidR="00F800E3" w:rsidRPr="004549C2">
        <w:rPr>
          <w:noProof/>
          <w:sz w:val="22"/>
          <w:szCs w:val="22"/>
        </w:rPr>
        <w:t xml:space="preserve"> </w:t>
      </w:r>
      <w:r w:rsidRPr="004549C2">
        <w:rPr>
          <w:noProof/>
          <w:sz w:val="22"/>
          <w:szCs w:val="22"/>
        </w:rPr>
        <w:t xml:space="preserve">and processed on a first come, first serve basis. An award notice will be delivered via email summarizing the </w:t>
      </w:r>
      <w:r w:rsidR="00AB14C2">
        <w:rPr>
          <w:noProof/>
          <w:sz w:val="22"/>
          <w:szCs w:val="22"/>
        </w:rPr>
        <w:t>subsidy</w:t>
      </w:r>
      <w:r w:rsidR="00F800E3" w:rsidRPr="004549C2">
        <w:rPr>
          <w:noProof/>
          <w:sz w:val="22"/>
          <w:szCs w:val="22"/>
        </w:rPr>
        <w:t xml:space="preserve"> details.      </w:t>
      </w:r>
    </w:p>
    <w:p w14:paraId="7DCF0C92" w14:textId="0F32E007" w:rsidR="00BD7EAA" w:rsidRDefault="00BD7EAA" w:rsidP="001A2C59">
      <w:pPr>
        <w:rPr>
          <w:noProof/>
          <w:sz w:val="22"/>
          <w:szCs w:val="22"/>
          <w:u w:val="single"/>
        </w:rPr>
      </w:pPr>
    </w:p>
    <w:p w14:paraId="2DC9329A" w14:textId="1AA7116B" w:rsidR="00663C55" w:rsidRDefault="00663C55" w:rsidP="001A2C59">
      <w:pPr>
        <w:rPr>
          <w:noProof/>
          <w:sz w:val="22"/>
          <w:szCs w:val="22"/>
          <w:u w:val="single"/>
        </w:rPr>
      </w:pPr>
    </w:p>
    <w:p w14:paraId="1653F6B0" w14:textId="2E2B75FC" w:rsidR="00663C55" w:rsidRDefault="00663C55" w:rsidP="001A2C59">
      <w:pPr>
        <w:rPr>
          <w:noProof/>
          <w:sz w:val="22"/>
          <w:szCs w:val="22"/>
          <w:u w:val="single"/>
        </w:rPr>
      </w:pPr>
    </w:p>
    <w:p w14:paraId="545A194A" w14:textId="1F89166F" w:rsidR="00663C55" w:rsidRDefault="00663C55" w:rsidP="001A2C59">
      <w:pPr>
        <w:rPr>
          <w:noProof/>
          <w:sz w:val="22"/>
          <w:szCs w:val="22"/>
          <w:u w:val="single"/>
        </w:rPr>
      </w:pPr>
    </w:p>
    <w:p w14:paraId="692E5F09" w14:textId="77777777" w:rsidR="00663C55" w:rsidRPr="004549C2" w:rsidRDefault="00663C55" w:rsidP="001A2C59">
      <w:pPr>
        <w:rPr>
          <w:noProof/>
          <w:sz w:val="22"/>
          <w:szCs w:val="22"/>
          <w:u w:val="single"/>
        </w:rPr>
      </w:pPr>
    </w:p>
    <w:p w14:paraId="0B224A48" w14:textId="77777777" w:rsidR="00364006" w:rsidRPr="004549C2" w:rsidRDefault="00364006" w:rsidP="001A2C59">
      <w:pPr>
        <w:rPr>
          <w:noProof/>
          <w:sz w:val="22"/>
          <w:szCs w:val="22"/>
          <w:u w:val="single"/>
        </w:rPr>
      </w:pPr>
      <w:r w:rsidRPr="004549C2">
        <w:rPr>
          <w:noProof/>
          <w:sz w:val="22"/>
          <w:szCs w:val="22"/>
          <w:u w:val="single"/>
        </w:rPr>
        <w:lastRenderedPageBreak/>
        <w:t>Invoicing</w:t>
      </w:r>
    </w:p>
    <w:p w14:paraId="3D886EC5" w14:textId="77777777" w:rsidR="00D91512" w:rsidRPr="004549C2" w:rsidRDefault="00D91512" w:rsidP="00D91512">
      <w:pPr>
        <w:rPr>
          <w:noProof/>
          <w:sz w:val="22"/>
          <w:szCs w:val="22"/>
        </w:rPr>
      </w:pPr>
      <w:r w:rsidRPr="004549C2">
        <w:rPr>
          <w:noProof/>
          <w:sz w:val="22"/>
          <w:szCs w:val="22"/>
        </w:rPr>
        <w:t xml:space="preserve">A Workday Internal Service Delivery (ISD) document will be used to facilitate the transfer of funds.  </w:t>
      </w:r>
    </w:p>
    <w:p w14:paraId="360E4167" w14:textId="3300DDBF" w:rsidR="00261FFF" w:rsidRDefault="001A2C59" w:rsidP="00034C25">
      <w:pPr>
        <w:rPr>
          <w:noProof/>
          <w:sz w:val="22"/>
          <w:szCs w:val="22"/>
        </w:rPr>
      </w:pPr>
      <w:r w:rsidRPr="004549C2">
        <w:rPr>
          <w:noProof/>
          <w:sz w:val="22"/>
          <w:szCs w:val="22"/>
        </w:rPr>
        <w:t>Users will receive a monthly</w:t>
      </w:r>
      <w:r w:rsidR="002E7248" w:rsidRPr="004549C2">
        <w:rPr>
          <w:noProof/>
          <w:sz w:val="22"/>
          <w:szCs w:val="22"/>
        </w:rPr>
        <w:t xml:space="preserve"> statement summarizing usage for each</w:t>
      </w:r>
      <w:r w:rsidRPr="004549C2">
        <w:rPr>
          <w:noProof/>
          <w:sz w:val="22"/>
          <w:szCs w:val="22"/>
        </w:rPr>
        <w:t xml:space="preserve"> project account.  </w:t>
      </w:r>
      <w:r w:rsidR="00034C25" w:rsidRPr="004549C2">
        <w:rPr>
          <w:noProof/>
          <w:sz w:val="22"/>
          <w:szCs w:val="22"/>
        </w:rPr>
        <w:t>The first $3025 will be due from the user</w:t>
      </w:r>
      <w:r w:rsidR="00261FFF" w:rsidRPr="004549C2">
        <w:rPr>
          <w:noProof/>
          <w:sz w:val="22"/>
          <w:szCs w:val="22"/>
        </w:rPr>
        <w:t xml:space="preserve">.  </w:t>
      </w:r>
      <w:r w:rsidR="00034C25" w:rsidRPr="004549C2">
        <w:rPr>
          <w:noProof/>
          <w:sz w:val="22"/>
          <w:szCs w:val="22"/>
        </w:rPr>
        <w:t>Tier 2 usage begins at 275,0001 SU</w:t>
      </w:r>
      <w:r w:rsidR="00261FFF" w:rsidRPr="004549C2">
        <w:rPr>
          <w:noProof/>
          <w:sz w:val="22"/>
          <w:szCs w:val="22"/>
        </w:rPr>
        <w:t>, a</w:t>
      </w:r>
      <w:r w:rsidR="00034C25" w:rsidRPr="004549C2">
        <w:rPr>
          <w:noProof/>
          <w:sz w:val="22"/>
          <w:szCs w:val="22"/>
        </w:rPr>
        <w:t>t which time month</w:t>
      </w:r>
      <w:r w:rsidR="00663C55">
        <w:rPr>
          <w:noProof/>
          <w:sz w:val="22"/>
          <w:szCs w:val="22"/>
        </w:rPr>
        <w:t>l</w:t>
      </w:r>
      <w:r w:rsidR="00034C25" w:rsidRPr="004549C2">
        <w:rPr>
          <w:noProof/>
          <w:sz w:val="22"/>
          <w:szCs w:val="22"/>
        </w:rPr>
        <w:t xml:space="preserve">y usage will be split, </w:t>
      </w:r>
      <w:r w:rsidR="00F92AC0" w:rsidRPr="004549C2">
        <w:rPr>
          <w:noProof/>
          <w:sz w:val="22"/>
          <w:szCs w:val="22"/>
        </w:rPr>
        <w:t>charging</w:t>
      </w:r>
      <w:r w:rsidR="00034C25" w:rsidRPr="004549C2">
        <w:rPr>
          <w:noProof/>
          <w:sz w:val="22"/>
          <w:szCs w:val="22"/>
        </w:rPr>
        <w:t xml:space="preserve"> one </w:t>
      </w:r>
      <w:r w:rsidR="00663C55">
        <w:rPr>
          <w:noProof/>
          <w:sz w:val="22"/>
          <w:szCs w:val="22"/>
        </w:rPr>
        <w:t>fifth</w:t>
      </w:r>
      <w:r w:rsidR="00034C25" w:rsidRPr="004549C2">
        <w:rPr>
          <w:noProof/>
          <w:sz w:val="22"/>
          <w:szCs w:val="22"/>
        </w:rPr>
        <w:t xml:space="preserve"> (1/</w:t>
      </w:r>
      <w:r w:rsidR="00663C55">
        <w:rPr>
          <w:noProof/>
          <w:sz w:val="22"/>
          <w:szCs w:val="22"/>
        </w:rPr>
        <w:t>5</w:t>
      </w:r>
      <w:r w:rsidR="00034C25" w:rsidRPr="004549C2">
        <w:rPr>
          <w:noProof/>
          <w:sz w:val="22"/>
          <w:szCs w:val="22"/>
        </w:rPr>
        <w:t>) utlization to the project account and the balance</w:t>
      </w:r>
      <w:r w:rsidR="00AB14C2">
        <w:rPr>
          <w:noProof/>
          <w:sz w:val="22"/>
          <w:szCs w:val="22"/>
        </w:rPr>
        <w:t xml:space="preserve"> (</w:t>
      </w:r>
      <w:r w:rsidR="00663C55">
        <w:rPr>
          <w:noProof/>
          <w:sz w:val="22"/>
          <w:szCs w:val="22"/>
        </w:rPr>
        <w:t>4/5</w:t>
      </w:r>
      <w:r w:rsidR="00AB14C2">
        <w:rPr>
          <w:noProof/>
          <w:sz w:val="22"/>
          <w:szCs w:val="22"/>
        </w:rPr>
        <w:t>)</w:t>
      </w:r>
      <w:r w:rsidR="00034C25" w:rsidRPr="004549C2">
        <w:rPr>
          <w:noProof/>
          <w:sz w:val="22"/>
          <w:szCs w:val="22"/>
        </w:rPr>
        <w:t xml:space="preserve"> to IDSC’s match program. </w:t>
      </w:r>
    </w:p>
    <w:p w14:paraId="4347BD6E" w14:textId="612098BA" w:rsidR="00663C55" w:rsidRDefault="00663C55" w:rsidP="00034C25">
      <w:pPr>
        <w:rPr>
          <w:noProof/>
          <w:sz w:val="22"/>
          <w:szCs w:val="22"/>
        </w:rPr>
      </w:pPr>
    </w:p>
    <w:p w14:paraId="3A8FF681" w14:textId="6DA7A204" w:rsidR="00663C55" w:rsidRPr="004549C2" w:rsidRDefault="00FE2603" w:rsidP="00663C55">
      <w:pPr>
        <w:jc w:val="center"/>
        <w:rPr>
          <w:noProof/>
          <w:sz w:val="22"/>
          <w:szCs w:val="22"/>
        </w:rPr>
      </w:pPr>
      <w:r w:rsidRPr="00D54F1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2FF7574" wp14:editId="2D49C2AD">
            <wp:extent cx="4785212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878" cy="234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FCAFB" w14:textId="77777777" w:rsidR="00261FFF" w:rsidRPr="004549C2" w:rsidRDefault="00261FFF" w:rsidP="00261FFF">
      <w:pPr>
        <w:autoSpaceDE w:val="0"/>
        <w:autoSpaceDN w:val="0"/>
        <w:adjustRightInd w:val="0"/>
        <w:rPr>
          <w:noProof/>
          <w:sz w:val="22"/>
          <w:szCs w:val="22"/>
        </w:rPr>
      </w:pPr>
    </w:p>
    <w:p w14:paraId="194AF2BA" w14:textId="77777777" w:rsidR="00D91512" w:rsidRDefault="00D91512" w:rsidP="00FA59FD">
      <w:pPr>
        <w:autoSpaceDE w:val="0"/>
        <w:autoSpaceDN w:val="0"/>
        <w:adjustRightInd w:val="0"/>
        <w:rPr>
          <w:rStyle w:val="Hyperlink"/>
          <w:sz w:val="22"/>
          <w:szCs w:val="22"/>
          <w:u w:val="none"/>
        </w:rPr>
      </w:pPr>
      <w:r w:rsidRPr="004549C2">
        <w:rPr>
          <w:noProof/>
          <w:sz w:val="22"/>
          <w:szCs w:val="22"/>
        </w:rPr>
        <w:t xml:space="preserve">Please direct any inquries to Evelyn Cruz at </w:t>
      </w:r>
      <w:hyperlink r:id="rId12" w:history="1">
        <w:r w:rsidRPr="004549C2">
          <w:rPr>
            <w:rStyle w:val="Hyperlink"/>
            <w:noProof/>
            <w:sz w:val="22"/>
            <w:szCs w:val="22"/>
          </w:rPr>
          <w:t>ecruz3@miami.edu</w:t>
        </w:r>
      </w:hyperlink>
      <w:r w:rsidRPr="004549C2">
        <w:rPr>
          <w:noProof/>
          <w:sz w:val="22"/>
          <w:szCs w:val="22"/>
        </w:rPr>
        <w:t>.  For a</w:t>
      </w:r>
      <w:r w:rsidR="00261FFF" w:rsidRPr="004549C2">
        <w:rPr>
          <w:noProof/>
          <w:sz w:val="22"/>
          <w:szCs w:val="22"/>
        </w:rPr>
        <w:t xml:space="preserve">dditional information on IDSC </w:t>
      </w:r>
      <w:hyperlink r:id="rId13" w:history="1">
        <w:r w:rsidR="00261FFF" w:rsidRPr="004549C2">
          <w:rPr>
            <w:rStyle w:val="Hyperlink"/>
            <w:noProof/>
            <w:sz w:val="22"/>
            <w:szCs w:val="22"/>
          </w:rPr>
          <w:t>services</w:t>
        </w:r>
      </w:hyperlink>
      <w:r w:rsidR="00261FFF" w:rsidRPr="004549C2">
        <w:rPr>
          <w:noProof/>
          <w:sz w:val="22"/>
          <w:szCs w:val="22"/>
        </w:rPr>
        <w:t xml:space="preserve"> and </w:t>
      </w:r>
      <w:hyperlink r:id="rId14" w:history="1">
        <w:r w:rsidR="00261FFF" w:rsidRPr="004549C2">
          <w:rPr>
            <w:rStyle w:val="Hyperlink"/>
            <w:noProof/>
            <w:sz w:val="22"/>
            <w:szCs w:val="22"/>
          </w:rPr>
          <w:t>resources</w:t>
        </w:r>
      </w:hyperlink>
      <w:r w:rsidR="00261FFF" w:rsidRPr="004549C2">
        <w:rPr>
          <w:noProof/>
          <w:sz w:val="22"/>
          <w:szCs w:val="22"/>
        </w:rPr>
        <w:t xml:space="preserve">, please visit </w:t>
      </w:r>
      <w:hyperlink r:id="rId15" w:history="1">
        <w:r w:rsidR="00856AEE">
          <w:rPr>
            <w:rStyle w:val="Hyperlink"/>
            <w:sz w:val="22"/>
            <w:szCs w:val="22"/>
          </w:rPr>
          <w:t>https://idsc.miami.edu/</w:t>
        </w:r>
      </w:hyperlink>
      <w:r w:rsidR="00261FFF" w:rsidRPr="004549C2">
        <w:rPr>
          <w:sz w:val="22"/>
          <w:szCs w:val="22"/>
        </w:rPr>
        <w:t xml:space="preserve">. </w:t>
      </w:r>
      <w:r w:rsidR="009F1D96">
        <w:rPr>
          <w:sz w:val="22"/>
          <w:szCs w:val="22"/>
        </w:rPr>
        <w:t xml:space="preserve">IDSC </w:t>
      </w:r>
      <w:r w:rsidR="008465AF" w:rsidRPr="004549C2">
        <w:rPr>
          <w:sz w:val="22"/>
          <w:szCs w:val="22"/>
        </w:rPr>
        <w:t>FY2021 Fee Schedule</w:t>
      </w:r>
      <w:r w:rsidR="009F1D96">
        <w:rPr>
          <w:sz w:val="22"/>
          <w:szCs w:val="22"/>
        </w:rPr>
        <w:t xml:space="preserve"> is available for</w:t>
      </w:r>
      <w:r w:rsidR="008465AF" w:rsidRPr="004549C2">
        <w:rPr>
          <w:sz w:val="22"/>
          <w:szCs w:val="22"/>
        </w:rPr>
        <w:t xml:space="preserve"> </w:t>
      </w:r>
      <w:hyperlink r:id="rId16" w:history="1">
        <w:r w:rsidR="008465AF" w:rsidRPr="00B57229">
          <w:rPr>
            <w:rStyle w:val="Hyperlink"/>
            <w:sz w:val="22"/>
            <w:szCs w:val="22"/>
          </w:rPr>
          <w:t>download</w:t>
        </w:r>
        <w:r w:rsidR="009F1D96" w:rsidRPr="00B57229">
          <w:rPr>
            <w:rStyle w:val="Hyperlink"/>
            <w:sz w:val="22"/>
            <w:szCs w:val="22"/>
          </w:rPr>
          <w:t>.</w:t>
        </w:r>
      </w:hyperlink>
      <w:r w:rsidR="009F1D96">
        <w:rPr>
          <w:rStyle w:val="Hyperlink"/>
          <w:sz w:val="22"/>
          <w:szCs w:val="22"/>
          <w:u w:val="none"/>
        </w:rPr>
        <w:t xml:space="preserve"> </w:t>
      </w:r>
    </w:p>
    <w:p w14:paraId="6B4E807E" w14:textId="77777777" w:rsidR="009F1D96" w:rsidRDefault="009F1D96" w:rsidP="00FA59FD">
      <w:pPr>
        <w:autoSpaceDE w:val="0"/>
        <w:autoSpaceDN w:val="0"/>
        <w:adjustRightInd w:val="0"/>
        <w:rPr>
          <w:sz w:val="22"/>
          <w:szCs w:val="22"/>
        </w:rPr>
      </w:pPr>
    </w:p>
    <w:p w14:paraId="3DA44115" w14:textId="77777777" w:rsidR="009F1D96" w:rsidRPr="004549C2" w:rsidRDefault="009F1D96" w:rsidP="00FA59FD">
      <w:pPr>
        <w:autoSpaceDE w:val="0"/>
        <w:autoSpaceDN w:val="0"/>
        <w:adjustRightInd w:val="0"/>
        <w:rPr>
          <w:sz w:val="22"/>
          <w:szCs w:val="22"/>
        </w:rPr>
      </w:pPr>
    </w:p>
    <w:p w14:paraId="61619E44" w14:textId="77777777" w:rsidR="00D91512" w:rsidRPr="004549C2" w:rsidRDefault="00D91512" w:rsidP="00D91512">
      <w:pPr>
        <w:rPr>
          <w:i/>
          <w:noProof/>
          <w:sz w:val="22"/>
          <w:szCs w:val="22"/>
        </w:rPr>
      </w:pPr>
      <w:r w:rsidRPr="004549C2">
        <w:rPr>
          <w:i/>
          <w:noProof/>
          <w:sz w:val="22"/>
          <w:szCs w:val="22"/>
        </w:rPr>
        <w:t xml:space="preserve">PLEASE NOTE: There is a separate </w:t>
      </w:r>
      <w:r w:rsidR="00AB14C2" w:rsidRPr="00D763C4">
        <w:rPr>
          <w:i/>
          <w:noProof/>
          <w:sz w:val="22"/>
          <w:szCs w:val="22"/>
        </w:rPr>
        <w:t>subsidy</w:t>
      </w:r>
      <w:r w:rsidRPr="00D763C4">
        <w:rPr>
          <w:i/>
          <w:noProof/>
          <w:sz w:val="22"/>
          <w:szCs w:val="22"/>
        </w:rPr>
        <w:t xml:space="preserve"> program</w:t>
      </w:r>
      <w:r w:rsidRPr="004549C2">
        <w:rPr>
          <w:i/>
          <w:noProof/>
          <w:sz w:val="22"/>
          <w:szCs w:val="22"/>
        </w:rPr>
        <w:t xml:space="preserve"> and process for users </w:t>
      </w:r>
      <w:r w:rsidRPr="004549C2">
        <w:rPr>
          <w:b/>
          <w:i/>
          <w:noProof/>
          <w:sz w:val="22"/>
          <w:szCs w:val="22"/>
          <w:u w:val="single"/>
        </w:rPr>
        <w:t>without</w:t>
      </w:r>
      <w:r w:rsidRPr="004549C2">
        <w:rPr>
          <w:i/>
          <w:noProof/>
          <w:sz w:val="22"/>
          <w:szCs w:val="22"/>
        </w:rPr>
        <w:t xml:space="preserve">  grant funding.  Please </w:t>
      </w:r>
      <w:r w:rsidR="00D763C4">
        <w:rPr>
          <w:i/>
          <w:noProof/>
          <w:sz w:val="22"/>
          <w:szCs w:val="22"/>
        </w:rPr>
        <w:t>visti our</w:t>
      </w:r>
      <w:hyperlink r:id="rId17" w:history="1">
        <w:r w:rsidR="00D763C4" w:rsidRPr="00D763C4">
          <w:rPr>
            <w:rStyle w:val="Hyperlink"/>
            <w:i/>
            <w:noProof/>
            <w:sz w:val="22"/>
            <w:szCs w:val="22"/>
          </w:rPr>
          <w:t xml:space="preserve"> website</w:t>
        </w:r>
      </w:hyperlink>
      <w:r w:rsidR="00D763C4">
        <w:rPr>
          <w:i/>
          <w:noProof/>
          <w:sz w:val="22"/>
          <w:szCs w:val="22"/>
        </w:rPr>
        <w:t xml:space="preserve"> for details or </w:t>
      </w:r>
      <w:r w:rsidR="00EB4601">
        <w:rPr>
          <w:i/>
          <w:noProof/>
          <w:sz w:val="22"/>
          <w:szCs w:val="22"/>
        </w:rPr>
        <w:t xml:space="preserve">contact </w:t>
      </w:r>
      <w:hyperlink r:id="rId18" w:history="1">
        <w:r w:rsidR="00EB4601" w:rsidRPr="009325BF">
          <w:rPr>
            <w:rStyle w:val="Hyperlink"/>
            <w:i/>
            <w:noProof/>
            <w:sz w:val="22"/>
            <w:szCs w:val="22"/>
          </w:rPr>
          <w:t>idsc@miami.edu</w:t>
        </w:r>
      </w:hyperlink>
      <w:r w:rsidR="00D763C4">
        <w:rPr>
          <w:i/>
          <w:noProof/>
          <w:sz w:val="22"/>
          <w:szCs w:val="22"/>
        </w:rPr>
        <w:t xml:space="preserve">.  </w:t>
      </w:r>
    </w:p>
    <w:p w14:paraId="79017629" w14:textId="77777777" w:rsidR="0053347F" w:rsidRDefault="0053347F" w:rsidP="00F17C3D">
      <w:pPr>
        <w:rPr>
          <w:noProof/>
        </w:rPr>
      </w:pPr>
    </w:p>
    <w:sectPr w:rsidR="0053347F" w:rsidSect="00BD7EA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8F7D2" w14:textId="77777777" w:rsidR="003669A3" w:rsidRDefault="003669A3" w:rsidP="00300D3B">
      <w:r>
        <w:separator/>
      </w:r>
    </w:p>
  </w:endnote>
  <w:endnote w:type="continuationSeparator" w:id="0">
    <w:p w14:paraId="6F85226C" w14:textId="77777777" w:rsidR="003669A3" w:rsidRDefault="003669A3" w:rsidP="0030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91045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5EA059" w14:textId="77777777" w:rsidR="00BD7EAA" w:rsidRDefault="00BD7EAA" w:rsidP="00B731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3A6BE4" w14:textId="77777777" w:rsidR="005923D3" w:rsidRDefault="005923D3" w:rsidP="00BD7E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90606023"/>
      <w:docPartObj>
        <w:docPartGallery w:val="Page Numbers (Bottom of Page)"/>
        <w:docPartUnique/>
      </w:docPartObj>
    </w:sdtPr>
    <w:sdtEndPr>
      <w:rPr>
        <w:rStyle w:val="PageNumber"/>
        <w:sz w:val="16"/>
      </w:rPr>
    </w:sdtEndPr>
    <w:sdtContent>
      <w:p w14:paraId="5769E6E9" w14:textId="77777777" w:rsidR="00BD7EAA" w:rsidRDefault="00BD7EAA" w:rsidP="00B731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4CC6153" w14:textId="2F926C72" w:rsidR="00B73183" w:rsidRPr="00B73183" w:rsidRDefault="00B73183" w:rsidP="00B73183">
    <w:pPr>
      <w:ind w:right="360" w:hanging="360"/>
      <w:rPr>
        <w:rFonts w:ascii="Century Gothic" w:hAnsi="Century Gothic" w:cs="Arial"/>
        <w:sz w:val="16"/>
        <w:szCs w:val="16"/>
      </w:rPr>
    </w:pPr>
    <w:r w:rsidRPr="00B73183">
      <w:rPr>
        <w:rFonts w:ascii="Century Gothic" w:hAnsi="Century Gothic" w:cs="Arial"/>
        <w:sz w:val="16"/>
        <w:szCs w:val="16"/>
      </w:rPr>
      <w:t>IDSC Service Unit Match</w:t>
    </w:r>
    <w:r>
      <w:rPr>
        <w:rFonts w:ascii="Century Gothic" w:hAnsi="Century Gothic" w:cs="Arial"/>
        <w:sz w:val="16"/>
        <w:szCs w:val="16"/>
      </w:rPr>
      <w:t xml:space="preserve"> Program</w:t>
    </w:r>
    <w:r w:rsidRPr="00B73183">
      <w:rPr>
        <w:rFonts w:ascii="Century Gothic" w:hAnsi="Century Gothic" w:cs="Arial"/>
        <w:sz w:val="16"/>
        <w:szCs w:val="16"/>
      </w:rPr>
      <w:t>-rev.0</w:t>
    </w:r>
    <w:r w:rsidR="00FE2603">
      <w:rPr>
        <w:rFonts w:ascii="Century Gothic" w:hAnsi="Century Gothic" w:cs="Arial"/>
        <w:sz w:val="16"/>
        <w:szCs w:val="16"/>
      </w:rPr>
      <w:t>9/29</w:t>
    </w:r>
    <w:r w:rsidRPr="00B73183">
      <w:rPr>
        <w:rFonts w:ascii="Century Gothic" w:hAnsi="Century Gothic" w:cs="Arial"/>
        <w:sz w:val="16"/>
        <w:szCs w:val="16"/>
      </w:rPr>
      <w:t>/2020</w:t>
    </w:r>
  </w:p>
  <w:p w14:paraId="7FBE571C" w14:textId="77777777" w:rsidR="005923D3" w:rsidRDefault="005923D3" w:rsidP="00BD7EA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8B2B" w14:textId="77777777" w:rsidR="00EB4601" w:rsidRDefault="00EB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DFC77" w14:textId="77777777" w:rsidR="003669A3" w:rsidRDefault="003669A3" w:rsidP="00300D3B">
      <w:r>
        <w:separator/>
      </w:r>
    </w:p>
  </w:footnote>
  <w:footnote w:type="continuationSeparator" w:id="0">
    <w:p w14:paraId="5BBAF01B" w14:textId="77777777" w:rsidR="003669A3" w:rsidRDefault="003669A3" w:rsidP="0030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3F49" w14:textId="77777777" w:rsidR="005923D3" w:rsidRDefault="00592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9DBAC" w14:textId="77777777" w:rsidR="005923D3" w:rsidRDefault="00592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5C03F" w14:textId="77777777" w:rsidR="005923D3" w:rsidRDefault="00592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864D1"/>
    <w:multiLevelType w:val="hybridMultilevel"/>
    <w:tmpl w:val="C408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D3B"/>
    <w:rsid w:val="00034C25"/>
    <w:rsid w:val="000559FF"/>
    <w:rsid w:val="00087E2F"/>
    <w:rsid w:val="000A5E4D"/>
    <w:rsid w:val="000D29D0"/>
    <w:rsid w:val="000D6330"/>
    <w:rsid w:val="000E4488"/>
    <w:rsid w:val="0011365F"/>
    <w:rsid w:val="001224F7"/>
    <w:rsid w:val="00123D78"/>
    <w:rsid w:val="00123DE1"/>
    <w:rsid w:val="00130740"/>
    <w:rsid w:val="00146D15"/>
    <w:rsid w:val="00183E61"/>
    <w:rsid w:val="001A2C59"/>
    <w:rsid w:val="00261FFF"/>
    <w:rsid w:val="00262A73"/>
    <w:rsid w:val="0027042F"/>
    <w:rsid w:val="002B4F1A"/>
    <w:rsid w:val="002C14A7"/>
    <w:rsid w:val="002C26CD"/>
    <w:rsid w:val="002D7FCB"/>
    <w:rsid w:val="002E7248"/>
    <w:rsid w:val="002F0AA3"/>
    <w:rsid w:val="00300D3B"/>
    <w:rsid w:val="00305461"/>
    <w:rsid w:val="00331DE3"/>
    <w:rsid w:val="00346E56"/>
    <w:rsid w:val="0034788C"/>
    <w:rsid w:val="00354799"/>
    <w:rsid w:val="00364006"/>
    <w:rsid w:val="003669A3"/>
    <w:rsid w:val="00377DBC"/>
    <w:rsid w:val="00381F7C"/>
    <w:rsid w:val="003A18BD"/>
    <w:rsid w:val="003A1A6A"/>
    <w:rsid w:val="003A28F0"/>
    <w:rsid w:val="003C3BEC"/>
    <w:rsid w:val="003E0A45"/>
    <w:rsid w:val="003F5064"/>
    <w:rsid w:val="00422298"/>
    <w:rsid w:val="00425F33"/>
    <w:rsid w:val="00427520"/>
    <w:rsid w:val="004549C2"/>
    <w:rsid w:val="00491FAF"/>
    <w:rsid w:val="00497E77"/>
    <w:rsid w:val="004A1299"/>
    <w:rsid w:val="004C686F"/>
    <w:rsid w:val="00506E3F"/>
    <w:rsid w:val="005154FA"/>
    <w:rsid w:val="00515BE3"/>
    <w:rsid w:val="0052495E"/>
    <w:rsid w:val="0053347F"/>
    <w:rsid w:val="00534496"/>
    <w:rsid w:val="0054431A"/>
    <w:rsid w:val="005570AB"/>
    <w:rsid w:val="00562C69"/>
    <w:rsid w:val="00576AC9"/>
    <w:rsid w:val="0058681D"/>
    <w:rsid w:val="005923D3"/>
    <w:rsid w:val="00593E09"/>
    <w:rsid w:val="006172AC"/>
    <w:rsid w:val="006277A3"/>
    <w:rsid w:val="00663C55"/>
    <w:rsid w:val="006721A6"/>
    <w:rsid w:val="006A24BE"/>
    <w:rsid w:val="006D176A"/>
    <w:rsid w:val="006F77C2"/>
    <w:rsid w:val="007422CC"/>
    <w:rsid w:val="007544D6"/>
    <w:rsid w:val="00770DA8"/>
    <w:rsid w:val="007762D2"/>
    <w:rsid w:val="007831DB"/>
    <w:rsid w:val="00790F96"/>
    <w:rsid w:val="00794BE3"/>
    <w:rsid w:val="007B2887"/>
    <w:rsid w:val="007E13D2"/>
    <w:rsid w:val="007E7319"/>
    <w:rsid w:val="007F01BE"/>
    <w:rsid w:val="0081068B"/>
    <w:rsid w:val="00812F99"/>
    <w:rsid w:val="00816B76"/>
    <w:rsid w:val="00820D83"/>
    <w:rsid w:val="00844F51"/>
    <w:rsid w:val="008465AF"/>
    <w:rsid w:val="00856AEE"/>
    <w:rsid w:val="008A7FD0"/>
    <w:rsid w:val="008D221A"/>
    <w:rsid w:val="008E7263"/>
    <w:rsid w:val="008F36C9"/>
    <w:rsid w:val="0090472F"/>
    <w:rsid w:val="00904B9C"/>
    <w:rsid w:val="009236AF"/>
    <w:rsid w:val="00932163"/>
    <w:rsid w:val="0097780F"/>
    <w:rsid w:val="009A6E5A"/>
    <w:rsid w:val="009B132E"/>
    <w:rsid w:val="009E350C"/>
    <w:rsid w:val="009F1D96"/>
    <w:rsid w:val="009F3E73"/>
    <w:rsid w:val="009F6514"/>
    <w:rsid w:val="009F6EB9"/>
    <w:rsid w:val="00A10623"/>
    <w:rsid w:val="00A230F7"/>
    <w:rsid w:val="00A24D51"/>
    <w:rsid w:val="00A26AD8"/>
    <w:rsid w:val="00A403B2"/>
    <w:rsid w:val="00A455DA"/>
    <w:rsid w:val="00A653F1"/>
    <w:rsid w:val="00AB14C2"/>
    <w:rsid w:val="00AB2AE8"/>
    <w:rsid w:val="00AC0C16"/>
    <w:rsid w:val="00B05C44"/>
    <w:rsid w:val="00B57229"/>
    <w:rsid w:val="00B73183"/>
    <w:rsid w:val="00BA38E1"/>
    <w:rsid w:val="00BD7EAA"/>
    <w:rsid w:val="00BF31E7"/>
    <w:rsid w:val="00C24E0B"/>
    <w:rsid w:val="00C33839"/>
    <w:rsid w:val="00C679B5"/>
    <w:rsid w:val="00CA0227"/>
    <w:rsid w:val="00CB3DAF"/>
    <w:rsid w:val="00CC3499"/>
    <w:rsid w:val="00CF30AF"/>
    <w:rsid w:val="00D01D3A"/>
    <w:rsid w:val="00D30D0E"/>
    <w:rsid w:val="00D763C4"/>
    <w:rsid w:val="00D91512"/>
    <w:rsid w:val="00DC01AD"/>
    <w:rsid w:val="00DF29BE"/>
    <w:rsid w:val="00E02B9A"/>
    <w:rsid w:val="00E45A18"/>
    <w:rsid w:val="00E96269"/>
    <w:rsid w:val="00EB1418"/>
    <w:rsid w:val="00EB4601"/>
    <w:rsid w:val="00EB78E8"/>
    <w:rsid w:val="00EE018B"/>
    <w:rsid w:val="00F006D0"/>
    <w:rsid w:val="00F02EB0"/>
    <w:rsid w:val="00F114C9"/>
    <w:rsid w:val="00F17C3D"/>
    <w:rsid w:val="00F519FC"/>
    <w:rsid w:val="00F5639E"/>
    <w:rsid w:val="00F800E3"/>
    <w:rsid w:val="00F87327"/>
    <w:rsid w:val="00F92AC0"/>
    <w:rsid w:val="00FA59FD"/>
    <w:rsid w:val="00FD6433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52182"/>
  <w15:docId w15:val="{4845F102-79CE-4316-9F52-56360676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D3B"/>
  </w:style>
  <w:style w:type="paragraph" w:styleId="Footer">
    <w:name w:val="footer"/>
    <w:basedOn w:val="Normal"/>
    <w:link w:val="FooterChar"/>
    <w:uiPriority w:val="99"/>
    <w:unhideWhenUsed/>
    <w:rsid w:val="00300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D3B"/>
  </w:style>
  <w:style w:type="paragraph" w:styleId="BalloonText">
    <w:name w:val="Balloon Text"/>
    <w:basedOn w:val="Normal"/>
    <w:link w:val="BalloonTextChar"/>
    <w:uiPriority w:val="99"/>
    <w:semiHidden/>
    <w:unhideWhenUsed/>
    <w:rsid w:val="00586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2F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0A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3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E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495E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D7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dsc.miami.edu/platforms/services/" TargetMode="External"/><Relationship Id="rId18" Type="http://schemas.openxmlformats.org/officeDocument/2006/relationships/hyperlink" Target="mailto:idsc@miami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cruz3@miami.edu" TargetMode="External"/><Relationship Id="rId17" Type="http://schemas.openxmlformats.org/officeDocument/2006/relationships/hyperlink" Target="https://idsc.miami.edu/platforms/grant-preparation/subsidy-programs/start-up-service-un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dsc.miami.edu/wp-content/uploads/2020/09/IDSC-Fee-schedule-UM-rate-FY2021-09-16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idsc.miami.ed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redcap.miami.edu/surveys/?s=F8MK9NMW9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pc@ccs.miami.edu" TargetMode="External"/><Relationship Id="rId14" Type="http://schemas.openxmlformats.org/officeDocument/2006/relationships/hyperlink" Target="https://idsc.miami.edu/platforms/grant-preparation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BD25-8C18-3249-B278-85D76D4F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Gynell</dc:creator>
  <cp:keywords/>
  <dc:description/>
  <cp:lastModifiedBy>Gynell, Helen</cp:lastModifiedBy>
  <cp:revision>2</cp:revision>
  <cp:lastPrinted>2017-06-01T20:16:00Z</cp:lastPrinted>
  <dcterms:created xsi:type="dcterms:W3CDTF">2020-09-29T20:29:00Z</dcterms:created>
  <dcterms:modified xsi:type="dcterms:W3CDTF">2020-09-29T20:29:00Z</dcterms:modified>
</cp:coreProperties>
</file>